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C00000"/>
          <w:sz w:val="32"/>
          <w:szCs w:val="32"/>
        </w:rPr>
      </w:pPr>
      <w:r>
        <w:rPr>
          <w:rFonts w:hint="eastAsia"/>
          <w:b/>
          <w:bCs/>
          <w:color w:val="C00000"/>
          <w:sz w:val="32"/>
          <w:szCs w:val="32"/>
        </w:rPr>
        <w:t>电脑端网络视频系统安装和使用流程</w:t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在浏览器内进入网址：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"http://spxt.ustc.edu.cn/"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http://spxt.ustc.edu.cn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点击进入“下载中心”</w:t>
      </w: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673225"/>
            <wp:effectExtent l="0" t="0" r="139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选择适用于自己系统的软件版本。</w:t>
      </w:r>
    </w:p>
    <w:p>
      <w:pPr>
        <w:ind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Win</w:t>
      </w:r>
      <w:r>
        <w:rPr>
          <w:sz w:val="24"/>
          <w:szCs w:val="24"/>
        </w:rPr>
        <w:t xml:space="preserve">dows </w:t>
      </w:r>
      <w:r>
        <w:rPr>
          <w:rFonts w:hint="eastAsia"/>
          <w:sz w:val="24"/>
          <w:szCs w:val="24"/>
        </w:rPr>
        <w:t>用户在“下载中心”界面单击“点击下载”，将会下载文件</w:t>
      </w:r>
      <w:r>
        <w:rPr>
          <w:sz w:val="24"/>
          <w:szCs w:val="24"/>
        </w:rPr>
        <w:t>vcsinstall_spxt.ustc.edu.cn-.exe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104765" cy="3286125"/>
            <wp:effectExtent l="0" t="0" r="63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2298" cy="331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电脑端下载完成后打开该文件，完成软件安装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407660" cy="28194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9090" cy="28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424555" cy="2473325"/>
            <wp:effectExtent l="0" t="0" r="444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安装完成后再次打开网址：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"http://spxt.ustc.edu.cn/"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http://spxt.ustc.edu.cn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找到</w:t>
      </w: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中科大先研院会议室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，点击“加入课堂”按钮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5245735" cy="3003550"/>
            <wp:effectExtent l="0" t="0" r="1206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输入用户名和密码。（无需注册，用户名</w:t>
      </w:r>
      <w:r>
        <w:rPr>
          <w:rFonts w:hint="eastAsia"/>
          <w:sz w:val="24"/>
          <w:szCs w:val="24"/>
          <w:lang w:eastAsia="zh-CN"/>
        </w:rPr>
        <w:t>需</w:t>
      </w:r>
      <w:r>
        <w:rPr>
          <w:rFonts w:hint="eastAsia"/>
          <w:sz w:val="24"/>
          <w:szCs w:val="24"/>
        </w:rPr>
        <w:t>填写真实姓名，密码为123456）</w:t>
      </w: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446020"/>
            <wp:effectExtent l="0" t="0" r="1397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pStyle w:val="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登陆后点击“直接启动”按钮</w:t>
      </w: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409825"/>
            <wp:effectExtent l="0" t="0" r="1397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浏览器可能会弹出跳转应用请求窗口。这里以chrome浏览器为例，点击“打开 多方互动启动器”按钮，会议视频应用将被打开</w:t>
      </w:r>
      <w:r>
        <w:rPr>
          <w:rFonts w:hint="eastAsia"/>
          <w:color w:val="C00000"/>
          <w:sz w:val="24"/>
          <w:szCs w:val="24"/>
        </w:rPr>
        <w:t>（edge也会弹出该对话框，而搜狗浏览器测试没有显示该弹框直接跳到一下步）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282440" cy="14401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1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466215"/>
            <wp:effectExtent l="0" t="0" r="1397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402330" cy="2453640"/>
            <wp:effectExtent l="0" t="0" r="1143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094605" cy="2661285"/>
            <wp:effectExtent l="0" t="0" r="10795" b="5715"/>
            <wp:docPr id="27" name="图片 27" descr="15871126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87112632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  <w:szCs w:val="24"/>
        </w:rPr>
      </w:pPr>
    </w:p>
    <w:p>
      <w:pPr>
        <w:numPr>
          <w:ilvl w:val="0"/>
          <w:numId w:val="2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点击“音视频设置”进行测试。测试正常即可。</w:t>
      </w:r>
    </w:p>
    <w:p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6055" cy="1129030"/>
            <wp:effectExtent l="0" t="0" r="6985" b="13970"/>
            <wp:docPr id="28" name="图片 28" descr="15871130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711306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AD0AD3"/>
    <w:multiLevelType w:val="singleLevel"/>
    <w:tmpl w:val="5FAD0AD3"/>
    <w:lvl w:ilvl="0" w:tentative="0">
      <w:start w:val="8"/>
      <w:numFmt w:val="decimal"/>
      <w:suff w:val="nothing"/>
      <w:lvlText w:val="%1、"/>
      <w:lvlJc w:val="left"/>
    </w:lvl>
  </w:abstractNum>
  <w:abstractNum w:abstractNumId="1">
    <w:nsid w:val="648C0F46"/>
    <w:multiLevelType w:val="multilevel"/>
    <w:tmpl w:val="648C0F4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C90F11"/>
    <w:rsid w:val="6BC9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2020-06-10T08:04:00Z</dcterms:created>
  <dc:creator>xiaoyu</dc:creator>
  <cp:lastModifiedBy>xiaoyu</cp:lastModifiedBy>
  <dcterms:modified xsi:type="dcterms:W3CDTF">2020-06-10T08:04:49Z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